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eastAsia="仿宋_GB2312"/>
          <w:b/>
          <w:color w:val="000000" w:themeColor="text1"/>
          <w:sz w:val="32"/>
          <w:szCs w:val="32"/>
        </w:rPr>
      </w:pPr>
      <w:bookmarkStart w:id="0" w:name="_GoBack"/>
      <w:bookmarkEnd w:id="0"/>
      <w:r>
        <w:rPr>
          <w:rFonts w:hint="eastAsia" w:ascii="仿宋_GB2312" w:eastAsia="仿宋_GB2312"/>
          <w:b/>
          <w:color w:val="000000" w:themeColor="text1"/>
          <w:sz w:val="32"/>
          <w:szCs w:val="32"/>
        </w:rPr>
        <w:t>附件：</w:t>
      </w:r>
    </w:p>
    <w:p>
      <w:pPr>
        <w:tabs>
          <w:tab w:val="left" w:pos="142"/>
        </w:tabs>
        <w:ind w:firstLine="640" w:firstLineChars="177"/>
        <w:jc w:val="center"/>
        <w:rPr>
          <w:rFonts w:ascii="宋体" w:hAnsi="宋体" w:eastAsia="宋体"/>
          <w:b/>
          <w:color w:val="000000" w:themeColor="text1"/>
          <w:sz w:val="36"/>
          <w:szCs w:val="36"/>
        </w:rPr>
      </w:pPr>
      <w:r>
        <w:rPr>
          <w:rFonts w:hint="eastAsia" w:ascii="宋体" w:hAnsi="宋体" w:eastAsia="宋体"/>
          <w:b/>
          <w:color w:val="000000" w:themeColor="text1"/>
          <w:sz w:val="36"/>
          <w:szCs w:val="36"/>
        </w:rPr>
        <w:t>四川省特奥轮滑队承训机构比选评分表</w:t>
      </w:r>
    </w:p>
    <w:tbl>
      <w:tblPr>
        <w:tblStyle w:val="2"/>
        <w:tblW w:w="8812" w:type="dxa"/>
        <w:tblInd w:w="85" w:type="dxa"/>
        <w:tblLayout w:type="fixed"/>
        <w:tblCellMar>
          <w:top w:w="0" w:type="dxa"/>
          <w:left w:w="108" w:type="dxa"/>
          <w:bottom w:w="0" w:type="dxa"/>
          <w:right w:w="108" w:type="dxa"/>
        </w:tblCellMar>
      </w:tblPr>
      <w:tblGrid>
        <w:gridCol w:w="595"/>
        <w:gridCol w:w="572"/>
        <w:gridCol w:w="6929"/>
        <w:gridCol w:w="716"/>
      </w:tblGrid>
      <w:tr>
        <w:tblPrEx>
          <w:tblLayout w:type="fixed"/>
          <w:tblCellMar>
            <w:top w:w="0" w:type="dxa"/>
            <w:left w:w="108" w:type="dxa"/>
            <w:bottom w:w="0" w:type="dxa"/>
            <w:right w:w="108" w:type="dxa"/>
          </w:tblCellMar>
        </w:tblPrEx>
        <w:trPr>
          <w:trHeight w:val="804" w:hRule="atLeast"/>
        </w:trPr>
        <w:tc>
          <w:tcPr>
            <w:tcW w:w="8812" w:type="dxa"/>
            <w:gridSpan w:val="4"/>
            <w:tcBorders>
              <w:top w:val="nil"/>
              <w:left w:val="nil"/>
              <w:bottom w:val="nil"/>
              <w:right w:val="nil"/>
            </w:tcBorders>
            <w:shd w:val="clear" w:color="auto" w:fill="auto"/>
            <w:noWrap/>
            <w:tcMar>
              <w:left w:w="28" w:type="dxa"/>
              <w:right w:w="28" w:type="dxa"/>
            </w:tcMar>
            <w:vAlign w:val="center"/>
          </w:tcPr>
          <w:p>
            <w:pPr>
              <w:widowControl/>
              <w:spacing w:line="360" w:lineRule="auto"/>
              <w:jc w:val="left"/>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 xml:space="preserve">机构名称：                                     日期：2019年6月  日                             </w:t>
            </w:r>
          </w:p>
        </w:tc>
      </w:tr>
      <w:tr>
        <w:tblPrEx>
          <w:tblLayout w:type="fixed"/>
          <w:tblCellMar>
            <w:top w:w="0" w:type="dxa"/>
            <w:left w:w="108" w:type="dxa"/>
            <w:bottom w:w="0" w:type="dxa"/>
            <w:right w:w="108" w:type="dxa"/>
          </w:tblCellMar>
        </w:tblPrEx>
        <w:trPr>
          <w:trHeight w:val="1044" w:hRule="atLeast"/>
        </w:trPr>
        <w:tc>
          <w:tcPr>
            <w:tcW w:w="595" w:type="dxa"/>
            <w:tcBorders>
              <w:top w:val="single" w:color="auto" w:sz="4" w:space="0"/>
              <w:left w:val="single" w:color="auto" w:sz="4" w:space="0"/>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 xml:space="preserve">区分 </w:t>
            </w:r>
          </w:p>
        </w:tc>
        <w:tc>
          <w:tcPr>
            <w:tcW w:w="572"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分值</w:t>
            </w:r>
          </w:p>
        </w:tc>
        <w:tc>
          <w:tcPr>
            <w:tcW w:w="6929"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评分标准</w:t>
            </w:r>
          </w:p>
        </w:tc>
        <w:tc>
          <w:tcPr>
            <w:tcW w:w="716"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得分</w:t>
            </w:r>
          </w:p>
        </w:tc>
      </w:tr>
      <w:tr>
        <w:tblPrEx>
          <w:tblLayout w:type="fixed"/>
          <w:tblCellMar>
            <w:top w:w="0" w:type="dxa"/>
            <w:left w:w="108" w:type="dxa"/>
            <w:bottom w:w="0" w:type="dxa"/>
            <w:right w:w="108" w:type="dxa"/>
          </w:tblCellMar>
        </w:tblPrEx>
        <w:trPr>
          <w:trHeight w:val="673" w:hRule="atLeast"/>
        </w:trPr>
        <w:tc>
          <w:tcPr>
            <w:tcW w:w="595" w:type="dxa"/>
            <w:vMerge w:val="restart"/>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themeColor="text1"/>
                <w:kern w:val="0"/>
                <w:sz w:val="24"/>
                <w:szCs w:val="24"/>
              </w:rPr>
            </w:pPr>
            <w:r>
              <w:rPr>
                <w:rFonts w:hint="eastAsia" w:ascii="仿宋" w:hAnsi="仿宋" w:eastAsia="仿宋" w:cs="宋体"/>
                <w:b/>
                <w:bCs/>
                <w:color w:val="000000" w:themeColor="text1"/>
                <w:kern w:val="0"/>
                <w:sz w:val="24"/>
                <w:szCs w:val="24"/>
              </w:rPr>
              <w:t>集训</w:t>
            </w:r>
            <w:r>
              <w:rPr>
                <w:rFonts w:hint="eastAsia" w:ascii="仿宋" w:hAnsi="仿宋" w:eastAsia="仿宋" w:cs="宋体"/>
                <w:b/>
                <w:bCs/>
                <w:color w:val="000000" w:themeColor="text1"/>
                <w:kern w:val="0"/>
                <w:sz w:val="24"/>
                <w:szCs w:val="24"/>
              </w:rPr>
              <w:br w:type="textWrapping"/>
            </w:r>
            <w:r>
              <w:rPr>
                <w:rFonts w:hint="eastAsia" w:ascii="仿宋" w:hAnsi="仿宋" w:eastAsia="仿宋" w:cs="宋体"/>
                <w:b/>
                <w:bCs/>
                <w:color w:val="000000" w:themeColor="text1"/>
                <w:kern w:val="0"/>
                <w:sz w:val="24"/>
                <w:szCs w:val="24"/>
              </w:rPr>
              <w:t>参赛保障</w:t>
            </w:r>
            <w:r>
              <w:rPr>
                <w:rFonts w:hint="eastAsia" w:ascii="仿宋" w:hAnsi="仿宋" w:eastAsia="仿宋" w:cs="宋体"/>
                <w:b/>
                <w:bCs/>
                <w:color w:val="000000" w:themeColor="text1"/>
                <w:kern w:val="0"/>
                <w:sz w:val="24"/>
                <w:szCs w:val="24"/>
              </w:rPr>
              <w:br w:type="textWrapping"/>
            </w:r>
            <w:r>
              <w:rPr>
                <w:rFonts w:hint="eastAsia" w:ascii="仿宋" w:hAnsi="仿宋" w:eastAsia="仿宋" w:cs="宋体"/>
                <w:b/>
                <w:bCs/>
                <w:color w:val="000000" w:themeColor="text1"/>
                <w:kern w:val="0"/>
                <w:sz w:val="24"/>
                <w:szCs w:val="24"/>
              </w:rPr>
              <w:t>方案</w:t>
            </w:r>
            <w:r>
              <w:rPr>
                <w:rFonts w:hint="eastAsia" w:ascii="仿宋" w:hAnsi="仿宋" w:eastAsia="仿宋" w:cs="宋体"/>
                <w:b/>
                <w:bCs/>
                <w:color w:val="000000" w:themeColor="text1"/>
                <w:kern w:val="0"/>
                <w:sz w:val="24"/>
                <w:szCs w:val="24"/>
              </w:rPr>
              <w:br w:type="textWrapping"/>
            </w:r>
            <w:r>
              <w:rPr>
                <w:rFonts w:hint="eastAsia" w:ascii="仿宋" w:hAnsi="仿宋" w:eastAsia="仿宋" w:cs="宋体"/>
                <w:b/>
                <w:bCs/>
                <w:color w:val="000000" w:themeColor="text1"/>
                <w:kern w:val="0"/>
                <w:sz w:val="24"/>
                <w:szCs w:val="24"/>
              </w:rPr>
              <w:t>得分</w:t>
            </w:r>
          </w:p>
        </w:tc>
        <w:tc>
          <w:tcPr>
            <w:tcW w:w="572" w:type="dxa"/>
            <w:vMerge w:val="restart"/>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color w:val="000000" w:themeColor="text1"/>
                <w:kern w:val="0"/>
                <w:sz w:val="24"/>
                <w:szCs w:val="24"/>
              </w:rPr>
            </w:pPr>
            <w:r>
              <w:rPr>
                <w:rFonts w:hint="eastAsia" w:ascii="仿宋" w:hAnsi="仿宋" w:eastAsia="仿宋" w:cs="宋体"/>
                <w:b/>
                <w:color w:val="000000" w:themeColor="text1"/>
                <w:kern w:val="0"/>
                <w:sz w:val="24"/>
                <w:szCs w:val="24"/>
              </w:rPr>
              <w:t>80分</w:t>
            </w: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themeColor="text1"/>
                <w:kern w:val="0"/>
                <w:sz w:val="24"/>
                <w:szCs w:val="24"/>
              </w:rPr>
            </w:pPr>
            <w:r>
              <w:rPr>
                <w:rFonts w:hint="eastAsia" w:ascii="仿宋" w:hAnsi="仿宋" w:eastAsia="仿宋" w:cs="宋体"/>
                <w:b/>
                <w:bCs/>
                <w:color w:val="000000" w:themeColor="text1"/>
                <w:kern w:val="0"/>
                <w:sz w:val="24"/>
                <w:szCs w:val="24"/>
              </w:rPr>
              <w:t>经费预算及管理20分</w:t>
            </w:r>
            <w:r>
              <w:rPr>
                <w:rFonts w:hint="eastAsia" w:ascii="仿宋" w:hAnsi="仿宋" w:eastAsia="仿宋" w:cs="宋体"/>
                <w:color w:val="000000" w:themeColor="text1"/>
                <w:kern w:val="0"/>
                <w:sz w:val="24"/>
                <w:szCs w:val="24"/>
              </w:rPr>
              <w:t>：经费预算合理且不超过8万元，具备国家要求的财务管理制度及专业财务人员，能够按照《四川省残疾人体育集训队专项经费管理办法（试行）》的要求严格管理经费，综合评判，优得20分，良15分，一般得10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themeColor="text1"/>
                <w:kern w:val="0"/>
                <w:sz w:val="24"/>
                <w:szCs w:val="24"/>
              </w:rPr>
            </w:pPr>
            <w:r>
              <w:rPr>
                <w:rFonts w:hint="eastAsia" w:ascii="仿宋" w:hAnsi="仿宋" w:eastAsia="仿宋" w:cs="宋体"/>
                <w:color w:val="000000" w:themeColor="text1"/>
                <w:kern w:val="0"/>
                <w:sz w:val="24"/>
                <w:szCs w:val="24"/>
              </w:rPr>
              <w:t>　</w:t>
            </w:r>
          </w:p>
        </w:tc>
      </w:tr>
      <w:tr>
        <w:tblPrEx>
          <w:tblLayout w:type="fixed"/>
          <w:tblCellMar>
            <w:top w:w="0" w:type="dxa"/>
            <w:left w:w="108" w:type="dxa"/>
            <w:bottom w:w="0" w:type="dxa"/>
            <w:right w:w="108" w:type="dxa"/>
          </w:tblCellMar>
        </w:tblPrEx>
        <w:trPr>
          <w:trHeight w:val="641" w:hRule="atLeast"/>
        </w:trPr>
        <w:tc>
          <w:tcPr>
            <w:tcW w:w="595" w:type="dxa"/>
            <w:vMerge w:val="continue"/>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p>
        </w:tc>
        <w:tc>
          <w:tcPr>
            <w:tcW w:w="572" w:type="dxa"/>
            <w:vMerge w:val="continue"/>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kern w:val="0"/>
                <w:sz w:val="24"/>
                <w:szCs w:val="24"/>
              </w:rPr>
            </w:pPr>
            <w:r>
              <w:rPr>
                <w:rFonts w:hint="eastAsia" w:ascii="仿宋" w:hAnsi="仿宋" w:eastAsia="仿宋" w:cs="宋体"/>
                <w:b/>
                <w:bCs/>
                <w:color w:val="000000"/>
                <w:kern w:val="0"/>
                <w:sz w:val="24"/>
                <w:szCs w:val="24"/>
              </w:rPr>
              <w:t>训练场地20分：</w:t>
            </w:r>
            <w:r>
              <w:rPr>
                <w:rFonts w:hint="eastAsia" w:ascii="仿宋" w:hAnsi="仿宋" w:eastAsia="仿宋" w:cs="宋体"/>
                <w:bCs/>
                <w:color w:val="000000"/>
                <w:kern w:val="0"/>
                <w:sz w:val="24"/>
                <w:szCs w:val="24"/>
              </w:rPr>
              <w:t>能够满足特奥轮滑训练要求、条件安全、与食宿地点距离合适，</w:t>
            </w:r>
            <w:r>
              <w:rPr>
                <w:rFonts w:hint="eastAsia" w:ascii="仿宋" w:hAnsi="仿宋" w:eastAsia="仿宋" w:cs="宋体"/>
                <w:color w:val="000000"/>
                <w:kern w:val="0"/>
                <w:sz w:val="24"/>
                <w:szCs w:val="24"/>
              </w:rPr>
              <w:t>综合评判，优得20分，良15分，一般得10分。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r>
      <w:tr>
        <w:tblPrEx>
          <w:tblLayout w:type="fixed"/>
          <w:tblCellMar>
            <w:top w:w="0" w:type="dxa"/>
            <w:left w:w="108" w:type="dxa"/>
            <w:bottom w:w="0" w:type="dxa"/>
            <w:right w:w="108" w:type="dxa"/>
          </w:tblCellMar>
        </w:tblPrEx>
        <w:trPr>
          <w:trHeight w:val="670" w:hRule="atLeast"/>
        </w:trPr>
        <w:tc>
          <w:tcPr>
            <w:tcW w:w="595" w:type="dxa"/>
            <w:vMerge w:val="continue"/>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p>
        </w:tc>
        <w:tc>
          <w:tcPr>
            <w:tcW w:w="572" w:type="dxa"/>
            <w:vMerge w:val="continue"/>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kern w:val="0"/>
                <w:sz w:val="24"/>
                <w:szCs w:val="24"/>
              </w:rPr>
            </w:pPr>
            <w:r>
              <w:rPr>
                <w:rFonts w:hint="eastAsia" w:ascii="仿宋" w:hAnsi="仿宋" w:eastAsia="仿宋" w:cs="宋体"/>
                <w:b/>
                <w:bCs/>
                <w:color w:val="000000"/>
                <w:kern w:val="0"/>
                <w:sz w:val="24"/>
                <w:szCs w:val="24"/>
              </w:rPr>
              <w:t>食宿保障20分</w:t>
            </w:r>
            <w:r>
              <w:rPr>
                <w:rFonts w:hint="eastAsia" w:ascii="仿宋" w:hAnsi="仿宋" w:eastAsia="仿宋" w:cs="宋体"/>
                <w:color w:val="000000"/>
                <w:kern w:val="0"/>
                <w:sz w:val="24"/>
                <w:szCs w:val="24"/>
              </w:rPr>
              <w:t>：住宿、餐饮保障考虑周全，条件、措施合理，综合评判，优得20分，良15分，一般得10分。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r>
      <w:tr>
        <w:tblPrEx>
          <w:tblLayout w:type="fixed"/>
          <w:tblCellMar>
            <w:top w:w="0" w:type="dxa"/>
            <w:left w:w="108" w:type="dxa"/>
            <w:bottom w:w="0" w:type="dxa"/>
            <w:right w:w="108" w:type="dxa"/>
          </w:tblCellMar>
        </w:tblPrEx>
        <w:trPr>
          <w:trHeight w:val="394" w:hRule="atLeast"/>
        </w:trPr>
        <w:tc>
          <w:tcPr>
            <w:tcW w:w="595" w:type="dxa"/>
            <w:vMerge w:val="continue"/>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p>
        </w:tc>
        <w:tc>
          <w:tcPr>
            <w:tcW w:w="572" w:type="dxa"/>
            <w:vMerge w:val="continue"/>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kern w:val="0"/>
                <w:sz w:val="24"/>
                <w:szCs w:val="24"/>
              </w:rPr>
            </w:pPr>
            <w:r>
              <w:rPr>
                <w:rFonts w:hint="eastAsia" w:ascii="仿宋" w:hAnsi="仿宋" w:eastAsia="仿宋" w:cs="宋体"/>
                <w:b/>
                <w:color w:val="000000"/>
                <w:kern w:val="0"/>
                <w:sz w:val="24"/>
                <w:szCs w:val="24"/>
              </w:rPr>
              <w:t>工作人员10分</w:t>
            </w:r>
            <w:r>
              <w:rPr>
                <w:rFonts w:hint="eastAsia" w:ascii="仿宋" w:hAnsi="仿宋" w:eastAsia="仿宋" w:cs="宋体"/>
                <w:color w:val="000000"/>
                <w:kern w:val="0"/>
                <w:sz w:val="24"/>
                <w:szCs w:val="24"/>
              </w:rPr>
              <w:t>：参选机构指派的工作人员早否了解特奥运动、群众体育，有特奥工作经验、责任心强，根据指派工作人员的个人简介评判，综合评价优秀的得10分，良得7分，一般得4分。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r>
      <w:tr>
        <w:tblPrEx>
          <w:tblLayout w:type="fixed"/>
          <w:tblCellMar>
            <w:top w:w="0" w:type="dxa"/>
            <w:left w:w="108" w:type="dxa"/>
            <w:bottom w:w="0" w:type="dxa"/>
            <w:right w:w="108" w:type="dxa"/>
          </w:tblCellMar>
        </w:tblPrEx>
        <w:trPr>
          <w:trHeight w:val="236" w:hRule="atLeast"/>
        </w:trPr>
        <w:tc>
          <w:tcPr>
            <w:tcW w:w="595" w:type="dxa"/>
            <w:vMerge w:val="continue"/>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p>
        </w:tc>
        <w:tc>
          <w:tcPr>
            <w:tcW w:w="572" w:type="dxa"/>
            <w:vMerge w:val="continue"/>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kern w:val="0"/>
                <w:sz w:val="24"/>
                <w:szCs w:val="24"/>
              </w:rPr>
            </w:pPr>
            <w:r>
              <w:rPr>
                <w:rFonts w:hint="eastAsia" w:ascii="仿宋" w:hAnsi="仿宋" w:eastAsia="仿宋" w:cs="宋体"/>
                <w:b/>
                <w:color w:val="000000"/>
                <w:kern w:val="0"/>
                <w:sz w:val="24"/>
                <w:szCs w:val="24"/>
              </w:rPr>
              <w:t>参赛交通10分</w:t>
            </w:r>
            <w:r>
              <w:rPr>
                <w:rFonts w:hint="eastAsia" w:ascii="仿宋" w:hAnsi="仿宋" w:eastAsia="仿宋" w:cs="宋体"/>
                <w:color w:val="000000"/>
                <w:kern w:val="0"/>
                <w:sz w:val="24"/>
                <w:szCs w:val="24"/>
              </w:rPr>
              <w:t>：集训人员前往天津交通方式为飞机的得10分、高铁（或动车）得5分。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r>
      <w:tr>
        <w:tblPrEx>
          <w:tblLayout w:type="fixed"/>
          <w:tblCellMar>
            <w:top w:w="0" w:type="dxa"/>
            <w:left w:w="108" w:type="dxa"/>
            <w:bottom w:w="0" w:type="dxa"/>
            <w:right w:w="108" w:type="dxa"/>
          </w:tblCellMar>
        </w:tblPrEx>
        <w:trPr>
          <w:trHeight w:val="941" w:hRule="atLeast"/>
        </w:trPr>
        <w:tc>
          <w:tcPr>
            <w:tcW w:w="595"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履约能力</w:t>
            </w:r>
          </w:p>
        </w:tc>
        <w:tc>
          <w:tcPr>
            <w:tcW w:w="572"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10分</w:t>
            </w: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ind w:firstLine="240" w:firstLineChars="10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有组织特奥运动、群众体育项目训练、活动经验，每有一次得2分，最多得10分。通过参选机构提供可佐证材料为准，如网络报道链接、微信公众号、可体现活动内容的照片等。</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Layout w:type="fixed"/>
          <w:tblCellMar>
            <w:top w:w="0" w:type="dxa"/>
            <w:left w:w="108" w:type="dxa"/>
            <w:bottom w:w="0" w:type="dxa"/>
            <w:right w:w="108" w:type="dxa"/>
          </w:tblCellMar>
        </w:tblPrEx>
        <w:trPr>
          <w:trHeight w:val="768" w:hRule="atLeast"/>
        </w:trPr>
        <w:tc>
          <w:tcPr>
            <w:tcW w:w="595"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增值</w:t>
            </w:r>
            <w:r>
              <w:rPr>
                <w:rFonts w:hint="eastAsia" w:ascii="仿宋" w:hAnsi="仿宋" w:eastAsia="仿宋" w:cs="宋体"/>
                <w:b/>
                <w:bCs/>
                <w:color w:val="000000"/>
                <w:kern w:val="0"/>
                <w:sz w:val="24"/>
                <w:szCs w:val="24"/>
              </w:rPr>
              <w:br w:type="textWrapping"/>
            </w:r>
            <w:r>
              <w:rPr>
                <w:rFonts w:hint="eastAsia" w:ascii="仿宋" w:hAnsi="仿宋" w:eastAsia="仿宋" w:cs="宋体"/>
                <w:b/>
                <w:bCs/>
                <w:color w:val="000000"/>
                <w:kern w:val="0"/>
                <w:sz w:val="24"/>
                <w:szCs w:val="24"/>
              </w:rPr>
              <w:t>服务</w:t>
            </w:r>
          </w:p>
        </w:tc>
        <w:tc>
          <w:tcPr>
            <w:tcW w:w="572"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10分</w:t>
            </w:r>
          </w:p>
        </w:tc>
        <w:tc>
          <w:tcPr>
            <w:tcW w:w="6929" w:type="dxa"/>
            <w:tcBorders>
              <w:top w:val="nil"/>
              <w:left w:val="nil"/>
              <w:bottom w:val="single" w:color="auto" w:sz="4" w:space="0"/>
              <w:right w:val="single" w:color="auto" w:sz="4" w:space="0"/>
            </w:tcBorders>
            <w:shd w:val="clear" w:color="auto" w:fill="auto"/>
            <w:tcMar>
              <w:left w:w="28" w:type="dxa"/>
              <w:right w:w="28" w:type="dxa"/>
            </w:tcMar>
            <w:vAlign w:val="center"/>
          </w:tcPr>
          <w:p>
            <w:pPr>
              <w:widowControl/>
              <w:spacing w:line="360" w:lineRule="auto"/>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其他附加项目有利于项目开展或有利于特奥运动员康复发展的项目得1-10分，综合评判打分。</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p>
        </w:tc>
      </w:tr>
      <w:tr>
        <w:tblPrEx>
          <w:tblLayout w:type="fixed"/>
          <w:tblCellMar>
            <w:top w:w="0" w:type="dxa"/>
            <w:left w:w="108" w:type="dxa"/>
            <w:bottom w:w="0" w:type="dxa"/>
            <w:right w:w="108" w:type="dxa"/>
          </w:tblCellMar>
        </w:tblPrEx>
        <w:trPr>
          <w:trHeight w:val="644" w:hRule="atLeast"/>
        </w:trPr>
        <w:tc>
          <w:tcPr>
            <w:tcW w:w="8096" w:type="dxa"/>
            <w:gridSpan w:val="3"/>
            <w:tcBorders>
              <w:top w:val="single" w:color="auto" w:sz="4" w:space="0"/>
              <w:left w:val="single" w:color="auto" w:sz="4" w:space="0"/>
              <w:bottom w:val="single" w:color="auto" w:sz="4" w:space="0"/>
              <w:right w:val="single" w:color="000000"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合计得分（</w:t>
            </w:r>
            <w:r>
              <w:rPr>
                <w:rFonts w:hint="eastAsia" w:ascii="仿宋" w:hAnsi="仿宋" w:eastAsia="仿宋" w:cs="宋体"/>
                <w:color w:val="000000"/>
                <w:kern w:val="0"/>
                <w:sz w:val="24"/>
                <w:szCs w:val="24"/>
              </w:rPr>
              <w:t>各机构最终得分为各评委评分总和的平均数，保留1位小数。</w:t>
            </w:r>
            <w:r>
              <w:rPr>
                <w:rFonts w:hint="eastAsia" w:ascii="仿宋" w:hAnsi="仿宋" w:eastAsia="仿宋" w:cs="宋体"/>
                <w:b/>
                <w:bCs/>
                <w:color w:val="000000"/>
                <w:kern w:val="0"/>
                <w:sz w:val="24"/>
                <w:szCs w:val="24"/>
              </w:rPr>
              <w:t>）</w:t>
            </w:r>
          </w:p>
        </w:tc>
        <w:tc>
          <w:tcPr>
            <w:tcW w:w="716" w:type="dxa"/>
            <w:tcBorders>
              <w:top w:val="nil"/>
              <w:left w:val="nil"/>
              <w:bottom w:val="single" w:color="auto" w:sz="4" w:space="0"/>
              <w:right w:val="single" w:color="auto" w:sz="4" w:space="0"/>
            </w:tcBorders>
            <w:shd w:val="clear" w:color="auto" w:fill="auto"/>
            <w:noWrap/>
            <w:tcMar>
              <w:left w:w="28" w:type="dxa"/>
              <w:right w:w="28" w:type="dxa"/>
            </w:tcMar>
            <w:vAlign w:val="center"/>
          </w:tcPr>
          <w:p>
            <w:pPr>
              <w:widowControl/>
              <w:spacing w:line="360" w:lineRule="auto"/>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bl>
    <w:p>
      <w:pPr>
        <w:tabs>
          <w:tab w:val="left" w:pos="142"/>
        </w:tabs>
        <w:jc w:val="center"/>
        <w:rPr>
          <w:rFonts w:ascii="仿宋" w:hAnsi="仿宋" w:eastAsia="仿宋" w:cs="宋体"/>
          <w:color w:val="000000"/>
          <w:kern w:val="0"/>
          <w:sz w:val="24"/>
          <w:szCs w:val="24"/>
        </w:rPr>
      </w:pPr>
    </w:p>
    <w:p>
      <w:pPr>
        <w:tabs>
          <w:tab w:val="left" w:pos="142"/>
        </w:tabs>
        <w:jc w:val="center"/>
        <w:rPr>
          <w:rFonts w:ascii="仿宋_GB2312" w:eastAsia="仿宋_GB2312"/>
          <w:sz w:val="32"/>
          <w:szCs w:val="32"/>
        </w:rPr>
      </w:pPr>
      <w:r>
        <w:rPr>
          <w:rFonts w:hint="eastAsia" w:ascii="仿宋" w:hAnsi="仿宋" w:eastAsia="仿宋" w:cs="宋体"/>
          <w:color w:val="000000"/>
          <w:kern w:val="0"/>
          <w:sz w:val="24"/>
          <w:szCs w:val="24"/>
        </w:rPr>
        <w:t xml:space="preserve">                                         评委签名：</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 xml:space="preserve">  </w:t>
      </w:r>
    </w:p>
    <w:p/>
    <w:sectPr>
      <w:pgSz w:w="11906" w:h="16838"/>
      <w:pgMar w:top="1701"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43F3F"/>
    <w:rsid w:val="00322900"/>
    <w:rsid w:val="0032518D"/>
    <w:rsid w:val="004766D8"/>
    <w:rsid w:val="005D785B"/>
    <w:rsid w:val="007515DC"/>
    <w:rsid w:val="00B34D28"/>
    <w:rsid w:val="00C02214"/>
    <w:rsid w:val="00E43F3F"/>
    <w:rsid w:val="00E46530"/>
    <w:rsid w:val="21FB0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character" w:styleId="4">
    <w:name w:val="Hyperlink"/>
    <w:basedOn w:val="3"/>
    <w:unhideWhenUsed/>
    <w:uiPriority w:val="99"/>
    <w:rPr>
      <w:color w:val="0000FF" w:themeColor="hyperlink"/>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279</Words>
  <Characters>1595</Characters>
  <Lines>13</Lines>
  <Paragraphs>3</Paragraphs>
  <TotalTime>3</TotalTime>
  <ScaleCrop>false</ScaleCrop>
  <LinksUpToDate>false</LinksUpToDate>
  <CharactersWithSpaces>1871</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2019-05-31T10:09:00Z</dcterms:created>
  <dc:creator>Administrator</dc:creator>
  <cp:lastModifiedBy>Administrator</cp:lastModifiedBy>
  <dcterms:modified xsi:type="dcterms:W3CDTF">2019-06-03T10:00:13Z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